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chronicles-29"/>
    <w:p>
      <w:pPr>
        <w:pStyle w:val="Heading1"/>
      </w:pPr>
      <w:r>
        <w:t xml:space="preserve">Homiletics Analysis: 1 Chronicles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29 is the culminating chapter of the Chronicler’s extended account of David’s reign, and it functions as the theological and doxological climax of the entire book’s first movement. The chapter opens with David’s public address to the assembled leaders of Israel, reporting his own massive personal contribution to the temple treasury and then calling upon the people to give willingly toward the house of God (vv. 1–5). The response is overwhelming: the leaders of every tribe, the commanders, the overseers — all give lavishly and willingly (vv. 6–8). The people rejoice because they have given wholeheartedly, and David himself breaks into one of the great doxological prayers of Scripture (vv. 9–19), praising God for His sovereign ownership of all things, acknowledging that every gift the people have offered was first received from God’s own hand, and interceding for Solomon and the people to maintain this posture of whole-hearted devotion. The chapter closes with Solomon’s public anointing as king, the death of David in good old age after a full reign, and a brief closing colophon (vv. 20–30).</w:t>
      </w:r>
    </w:p>
    <w:p>
      <w:pPr>
        <w:pStyle w:val="BodyText"/>
      </w:pPr>
      <w:r>
        <w:rPr>
          <w:b/>
          <w:bCs/>
        </w:rPr>
        <w:t xml:space="preserve">This Text — Intent</w:t>
      </w:r>
    </w:p>
    <w:p>
      <w:pPr>
        <w:pStyle w:val="BodyText"/>
      </w:pPr>
      <w:r>
        <w:t xml:space="preserve">God is using this passage to accomplish a specific and profound reorientation in the reader’s understanding of giving, worship, and ownership. The intent is not merely to report a historical event or to celebrate David’s generosity. The intent is to confront every reader with the question David poses at the center of the chapter:</w:t>
      </w:r>
      <w:r>
        <w:t xml:space="preserve"> </w:t>
      </w:r>
      <w:r>
        <w:rPr>
          <w:i/>
          <w:iCs/>
        </w:rPr>
        <w:t xml:space="preserve">“Who am I, and who are my people, that we should be able to offer so willingly in this way? For all things come from You, and from Your own hand we have given You”</w:t>
      </w:r>
      <w:r>
        <w:t xml:space="preserve"> </w:t>
      </w:r>
      <w:r>
        <w:t xml:space="preserve">(v. 14). God is seeking to expose and dismantle the pride that quietly attaches itself to human generosity, and to replace it with a radically God-centered understanding of stewardship: we are not donors — we are conduits. We do not give God anything He did not first give us. The posture of whole-hearted, joyful generosity is the fitting response to this truth, not the ground of boasting. God is also using this passage to shape the reader’s theology of worship itself: the great doxology of vv. 10–13 is not decorative — it is the theological engine that drives everything else in the chapter. Giving flows from seeing God rightly.</w:t>
      </w:r>
    </w:p>
    <w:p>
      <w:r>
        <w:pict>
          <v:rect style="width:0;height:1.5pt" o:hralign="center" o:hrstd="t" o:hr="t"/>
        </w:pict>
      </w:r>
    </w:p>
    <w:p>
      <w:pPr>
        <w:pStyle w:val="FirstParagraph"/>
      </w:pPr>
      <w:r>
        <w:rPr>
          <w:b/>
          <w:bCs/>
        </w:rPr>
        <w:t xml:space="preserve">Subject Sentence:</w:t>
      </w:r>
      <w:r>
        <w:t xml:space="preserve"> </w:t>
      </w:r>
      <w:r>
        <w:t xml:space="preserve">David’s great doxology reveals that all human generosity is, at its root, a return of what God has already given.</w:t>
      </w:r>
    </w:p>
    <w:p>
      <w:r>
        <w:pict>
          <v:rect style="width:0;height:1.5pt" o:hralign="center" o:hrstd="t" o:hr="t"/>
        </w:pict>
      </w:r>
    </w:p>
    <w:p>
      <w:pPr>
        <w:pStyle w:val="FirstParagraph"/>
      </w:pPr>
      <w:r>
        <w:rPr>
          <w:b/>
          <w:bCs/>
        </w:rPr>
        <w:t xml:space="preserve">Primary Claim:</w:t>
      </w:r>
      <w:r>
        <w:t xml:space="preserve"> </w:t>
      </w:r>
      <w:r>
        <w:t xml:space="preserve">God is confronting every would-be giver with the liberating and humbling truth that He owns everything — and calling His people to the joyful, whole-hearted generosity that flows from knowing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Theological Purpose and the Question of Idealization</w:t>
      </w:r>
    </w:p>
    <w:p>
      <w:pPr>
        <w:pStyle w:val="BodyText"/>
      </w:pPr>
      <w:r>
        <w:t xml:space="preserve">A significant hermeneutical issue in reading 1 Chronicles is the Chronicler’s well-documented selective presentation of David. The Chronicler omits the Bathsheba narrative, the Amnon-Tamar episode, Absalom’s rebellion, and the Adonijah succession crisis — material that fills large portions of Samuel-Kings. Critical scholars often argue that this idealization renders the Chronicler’s David theologically suspect — a hagiography rather than a history, projecting post-exilic concerns backward onto the monarchic period. Some liberally-oriented interpreters treat this chapter’s doxological material as liturgical construction more than historical reporting.</w:t>
      </w:r>
    </w:p>
    <w:p>
      <w:pPr>
        <w:pStyle w:val="BodyText"/>
      </w:pPr>
      <w:r>
        <w:t xml:space="preserve">The Reformed reading does not require that the Chronicler’s selective presentation be harmonized at every point with Samuel-Kings, nor does it require defending an uncritical literalism about every numerical detail. The Chronicler is writing</w:t>
      </w:r>
      <w:r>
        <w:t xml:space="preserve"> </w:t>
      </w:r>
      <w:r>
        <w:rPr>
          <w:i/>
          <w:iCs/>
        </w:rPr>
        <w:t xml:space="preserve">theologically-shaped</w:t>
      </w:r>
      <w:r>
        <w:t xml:space="preserve"> </w:t>
      </w:r>
      <w:r>
        <w:t xml:space="preserve">history — a recognized ancient literary form — for a specific post-exilic community that needs to see the pattern of true worship, true kingship, and true generosity modeled for them. Selective presentation in service of theological instruction is not deception — it is the Chronicler’s legitimate hermeneutical task, functioning within the inspiration of Scripture. The doxological prayer of vv. 10–19 stands on its own theological and canonical weight regardless of one’s position on the Chronicler’s compositional methods.</w:t>
      </w:r>
    </w:p>
    <w:p>
      <w:pPr>
        <w:pStyle w:val="BodyText"/>
      </w:pPr>
      <w:r>
        <w:rPr>
          <w:b/>
          <w:bCs/>
        </w:rPr>
        <w:t xml:space="preserve">Arminian/Wesleyan Reading: Human Initiative in Generosity</w:t>
      </w:r>
    </w:p>
    <w:p>
      <w:pPr>
        <w:pStyle w:val="BodyText"/>
      </w:pPr>
      <w:r>
        <w:t xml:space="preserve">A Wesleyan reading of this passage will tend to emphasize the</w:t>
      </w:r>
      <w:r>
        <w:t xml:space="preserve"> </w:t>
      </w:r>
      <w:r>
        <w:rPr>
          <w:i/>
          <w:iCs/>
        </w:rPr>
        <w:t xml:space="preserve">willingness</w:t>
      </w:r>
      <w:r>
        <w:t xml:space="preserve"> </w:t>
      </w:r>
      <w:r>
        <w:t xml:space="preserve">of the people (vv. 6, 9, 14, 17) as evidence of genuine, meaningful human moral agency in the act of giving — that God’s sovereignty and human freedom cooperate rather than the former absorbing the latter. This reading is worth</w:t>
      </w:r>
      <w:r>
        <w:t xml:space="preserve"> </w:t>
      </w:r>
      <w:r>
        <w:rPr>
          <w:i/>
          <w:iCs/>
        </w:rPr>
        <w:t xml:space="preserve">acknowledging</w:t>
      </w:r>
      <w:r>
        <w:t xml:space="preserve"> </w:t>
      </w:r>
      <w:r>
        <w:t xml:space="preserve">as partially correct: the text does genuinely celebrate the</w:t>
      </w:r>
      <w:r>
        <w:t xml:space="preserve"> </w:t>
      </w:r>
      <w:r>
        <w:rPr>
          <w:i/>
          <w:iCs/>
        </w:rPr>
        <w:t xml:space="preserve">willingness</w:t>
      </w:r>
      <w:r>
        <w:t xml:space="preserve"> </w:t>
      </w:r>
      <w:r>
        <w:t xml:space="preserve">of the givers, and it is not a category error to observe that the people’s whole-hearted response is a real and significant act. The Chronicler does not treat human willingness as illusory.</w:t>
      </w:r>
    </w:p>
    <w:p>
      <w:pPr>
        <w:pStyle w:val="BodyText"/>
      </w:pPr>
      <w:r>
        <w:t xml:space="preserve">However, this reading must be</w:t>
      </w:r>
      <w:r>
        <w:t xml:space="preserve"> </w:t>
      </w:r>
      <w:r>
        <w:rPr>
          <w:i/>
          <w:iCs/>
        </w:rPr>
        <w:t xml:space="preserve">qualified</w:t>
      </w:r>
      <w:r>
        <w:t xml:space="preserve">. David’s own prayer in v. 14 refuses to ground human willingness in independent human virtue:</w:t>
      </w:r>
      <w:r>
        <w:t xml:space="preserve"> </w:t>
      </w:r>
      <w:r>
        <w:rPr>
          <w:i/>
          <w:iCs/>
        </w:rPr>
        <w:t xml:space="preserve">“all things come from You, and from Your own hand we have given You.”</w:t>
      </w:r>
      <w:r>
        <w:t xml:space="preserve"> </w:t>
      </w:r>
      <w:r>
        <w:t xml:space="preserve">The willingness itself is a gift. The Reformed reading does not deny the reality of human willingness but locates its source in God’s gracious working — consistent with Philippians 2:13 (</w:t>
      </w:r>
      <w:r>
        <w:rPr>
          <w:i/>
          <w:iCs/>
        </w:rPr>
        <w:t xml:space="preserve">“it is God who works in you, both to will and to work for His good pleasure”</w:t>
      </w:r>
      <w:r>
        <w:t xml:space="preserve">). The text does not present willing obedience as human achievement but as God’s grace generating its proper response.</w:t>
      </w:r>
    </w:p>
    <w:p>
      <w:pPr>
        <w:pStyle w:val="BodyText"/>
      </w:pPr>
      <w:r>
        <w:rPr>
          <w:b/>
          <w:bCs/>
        </w:rPr>
        <w:t xml:space="preserve">Prosperity Gospel Misappropriation</w:t>
      </w:r>
    </w:p>
    <w:p>
      <w:pPr>
        <w:pStyle w:val="BodyText"/>
      </w:pPr>
      <w:r>
        <w:t xml:space="preserve">A recurring misuse of this passage — particularly common in charismatic and Word-of-Faith contexts — treats the extravagance of the giving and the subsequent joy of the people as a template for transactional generosity: give lavishly, and God will lavishly return. This reading must be</w:t>
      </w:r>
      <w:r>
        <w:t xml:space="preserve"> </w:t>
      </w:r>
      <w:r>
        <w:rPr>
          <w:i/>
          <w:iCs/>
        </w:rPr>
        <w:t xml:space="preserve">refuted</w:t>
      </w:r>
      <w:r>
        <w:t xml:space="preserve">. The text contains no promise of return to the individual givers. David’s prayer does not invoke blessing upon the people as a consequence of their giving — it asks only that God maintain in them</w:t>
      </w:r>
      <w:r>
        <w:t xml:space="preserve"> </w:t>
      </w:r>
      <w:r>
        <w:rPr>
          <w:i/>
          <w:iCs/>
        </w:rPr>
        <w:t xml:space="preserve">the inclination to give</w:t>
      </w:r>
      <w:r>
        <w:t xml:space="preserve"> </w:t>
      </w:r>
      <w:r>
        <w:t xml:space="preserve">(v. 18) and that Solomon’s heart remain wholly devoted to keeping the commandments (v. 19). The motive for giving in this chapter is entirely theocentric: God owns everything; giving is an act of worship and acknowledgment, not a financial strategy. To import a prosperity framework is to invert the passage’s entire argument.</w:t>
      </w:r>
    </w:p>
    <w:p>
      <w:pPr>
        <w:pStyle w:val="BodyText"/>
      </w:pPr>
      <w:r>
        <w:rPr>
          <w:b/>
          <w:bCs/>
        </w:rPr>
        <w:t xml:space="preserve">The Reformed Reading</w:t>
      </w:r>
    </w:p>
    <w:p>
      <w:pPr>
        <w:pStyle w:val="BodyText"/>
      </w:pPr>
      <w:r>
        <w:t xml:space="preserve">The Reformed reading treats this passage as a fully integrated unit of theological instruction: the doxology (vv. 10–13) is the engine; David’s self-humbling acknowledgment (vv. 14–16) is the application of the doxology to the act of giving; and the people’s whole-hearted response (vv. 6–9) is the</w:t>
      </w:r>
      <w:r>
        <w:t xml:space="preserve"> </w:t>
      </w:r>
      <w:r>
        <w:rPr>
          <w:i/>
          <w:iCs/>
        </w:rPr>
        <w:t xml:space="preserve">fruit</w:t>
      </w:r>
      <w:r>
        <w:t xml:space="preserve">, not the</w:t>
      </w:r>
      <w:r>
        <w:t xml:space="preserve"> </w:t>
      </w:r>
      <w:r>
        <w:rPr>
          <w:i/>
          <w:iCs/>
        </w:rPr>
        <w:t xml:space="preserve">ground</w:t>
      </w:r>
      <w:r>
        <w:t xml:space="preserve">, of God-centered worship. The Primary Claim — that God owns everything and therefore all generosity is a return of what He first gave — is the text’s own explicit teaching, placed on David’s lips in direct speech. The Reformed tradition’s insistence that grace precedes and produces human response finds one of its most eloquent Old Testament expressions 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8:17–18</w:t>
      </w:r>
      <w:r>
        <w:t xml:space="preserve"> </w:t>
      </w:r>
      <w:r>
        <w:t xml:space="preserve">—</w:t>
      </w:r>
      <w:r>
        <w:t xml:space="preserve"> </w:t>
      </w:r>
      <w:r>
        <w:t xml:space="preserve">“Beware lest you say in your heart,</w:t>
      </w:r>
      <w:r>
        <w:t xml:space="preserve"> </w:t>
      </w:r>
      <w:r>
        <w:t xml:space="preserve">‘My power and the might of my hand have gotten me this wealth.’</w:t>
      </w:r>
      <w:r>
        <w:t xml:space="preserve"> </w:t>
      </w:r>
      <w:r>
        <w:t xml:space="preserve">You shall remember the LORD your God, for it is He who gives you power to get wealth.”</w:t>
      </w:r>
      <w:r>
        <w:t xml:space="preserve"> </w:t>
      </w:r>
      <w:r>
        <w:t xml:space="preserve">The same structural argument as 1 Chronicles 29:14 — human initiative is real, but its source is divine gift. The Deuteronomic grounding of 1 Chronicles’ theology is explicit here.</w:t>
      </w:r>
    </w:p>
    <w:p>
      <w:pPr>
        <w:numPr>
          <w:ilvl w:val="0"/>
          <w:numId w:val="1001"/>
        </w:numPr>
      </w:pPr>
      <w:r>
        <w:rPr>
          <w:b/>
          <w:bCs/>
        </w:rPr>
        <w:t xml:space="preserve">Psalm 24:1</w:t>
      </w:r>
      <w:r>
        <w:t xml:space="preserve"> </w:t>
      </w:r>
      <w:r>
        <w:t xml:space="preserve">—</w:t>
      </w:r>
      <w:r>
        <w:t xml:space="preserve"> </w:t>
      </w:r>
      <w:r>
        <w:t xml:space="preserve">“The earth is the LORD’s, and everything in it, the world and all who live in it.”</w:t>
      </w:r>
      <w:r>
        <w:t xml:space="preserve"> </w:t>
      </w:r>
      <w:r>
        <w:t xml:space="preserve">The ontological premise of David’s doxology — God’s absolute ownership — stated in its most compressed canonical form. This psalm likely comes from the same Davidic authorial tradition and provides the theological axiom the chapter enacts.</w:t>
      </w:r>
    </w:p>
    <w:p>
      <w:pPr>
        <w:numPr>
          <w:ilvl w:val="0"/>
          <w:numId w:val="1001"/>
        </w:numPr>
      </w:pPr>
      <w:r>
        <w:rPr>
          <w:b/>
          <w:bCs/>
        </w:rPr>
        <w:t xml:space="preserve">Haggai 2:8</w:t>
      </w:r>
      <w:r>
        <w:t xml:space="preserve"> </w:t>
      </w:r>
      <w:r>
        <w:t xml:space="preserve">—</w:t>
      </w:r>
      <w:r>
        <w:t xml:space="preserve"> </w:t>
      </w:r>
      <w:r>
        <w:t xml:space="preserve">“The silver is mine, and the gold is mine, declares the LORD Almighty.”</w:t>
      </w:r>
      <w:r>
        <w:t xml:space="preserve"> </w:t>
      </w:r>
      <w:r>
        <w:t xml:space="preserve">God’s direct assertion of ownership over the precise materials being offered in 1 Chronicles 29. The post-exilic context of Haggai also echoes the Chronicler’s post-exilic community, reinforcing the canonical continuity of this theme.</w:t>
      </w:r>
    </w:p>
    <w:p>
      <w:pPr>
        <w:numPr>
          <w:ilvl w:val="0"/>
          <w:numId w:val="1001"/>
        </w:numPr>
      </w:pPr>
      <w:r>
        <w:rPr>
          <w:b/>
          <w:bCs/>
        </w:rPr>
        <w:t xml:space="preserve">2 Corinthians 9:6–8</w:t>
      </w:r>
      <w:r>
        <w:t xml:space="preserve"> </w:t>
      </w:r>
      <w:r>
        <w:t xml:space="preserve">—</w:t>
      </w:r>
      <w:r>
        <w:t xml:space="preserve"> </w:t>
      </w:r>
      <w:r>
        <w:t xml:space="preserve">“Each one must give as he has decided in his heart, not reluctantly or under compulsion, for God loves a cheerful giver.”</w:t>
      </w:r>
      <w:r>
        <w:t xml:space="preserve"> </w:t>
      </w:r>
      <w:r>
        <w:t xml:space="preserve">The New Testament’s most direct parallel: the same insistence on willing, joyful generosity flowing from grace (vv. 8–11 ground it entirely in God’s prior generosity), and the same theocentric logic — we give because God has given to us, and our giving demonstrates His grace, not our virtue.</w:t>
      </w:r>
    </w:p>
    <w:p>
      <w:pPr>
        <w:numPr>
          <w:ilvl w:val="0"/>
          <w:numId w:val="1001"/>
        </w:numPr>
      </w:pPr>
      <w:r>
        <w:rPr>
          <w:b/>
          <w:bCs/>
        </w:rPr>
        <w:t xml:space="preserve">Romans 11:35–36</w:t>
      </w:r>
      <w:r>
        <w:t xml:space="preserve"> </w:t>
      </w:r>
      <w:r>
        <w:t xml:space="preserve">— Paul’s quotation from Job 41:11 —</w:t>
      </w:r>
      <w:r>
        <w:t xml:space="preserve"> </w:t>
      </w:r>
      <w:r>
        <w:t xml:space="preserve">“Who has given a gift to Him that He might be repaid?”</w:t>
      </w:r>
      <w:r>
        <w:t xml:space="preserve"> </w:t>
      </w:r>
      <w:r>
        <w:t xml:space="preserve">— followed by the doxology</w:t>
      </w:r>
      <w:r>
        <w:t xml:space="preserve"> </w:t>
      </w:r>
      <w:r>
        <w:t xml:space="preserve">“For from Him and through Him and to Him are all things.”</w:t>
      </w:r>
      <w:r>
        <w:t xml:space="preserve"> </w:t>
      </w:r>
      <w:r>
        <w:t xml:space="preserve">This is the New Testament’s most precise theological echo of 1 Chronicles 29:14, applying the same principle of absolute divine priority to the whole of redemptive history. Paul’s doxology is the NT bookend to David’s.</w:t>
      </w:r>
    </w:p>
    <w:p>
      <w:r>
        <w:pict>
          <v:rect style="width:0;height:1.5pt" o:hralign="center" o:hrstd="t" o:hr="t"/>
        </w:pict>
      </w:r>
    </w:p>
    <w:bookmarkEnd w:id="11"/>
    <w:bookmarkStart w:id="12" w:name="aim"/>
    <w:p>
      <w:pPr>
        <w:pStyle w:val="Heading2"/>
      </w:pPr>
      <w:r>
        <w:t xml:space="preserve">Aim</w:t>
      </w:r>
    </w:p>
    <w:p>
      <w:pPr>
        <w:pStyle w:val="FirstParagraph"/>
      </w:pPr>
      <w:r>
        <w:t xml:space="preserve">To confront the reader with God’s total ownership of all things, dismantling both the pride of generosity and the fear of scarcity, and to cultivate the whole-hearted, joyful giving that is the fitting response of a people who know they are stewards, not owners.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addresses the assembly: the task is great (for Solomon is young), and David has personally given to the temple from his own private treasury — gold, silver, bronze, iron, wood, onyx, precious stones</w:t>
            </w:r>
          </w:p>
        </w:tc>
        <w:tc>
          <w:tcPr/>
          <w:p>
            <w:pPr>
              <w:pStyle w:val="Compact"/>
            </w:pPr>
            <w:r>
              <w:t xml:space="preserve">The personal gift precedes the public call; David models before he asks; the specificity of materials signals consecrated totality</w:t>
            </w:r>
          </w:p>
        </w:tc>
      </w:tr>
      <w:tr>
        <w:tc>
          <w:tcPr/>
          <w:p>
            <w:pPr>
              <w:pStyle w:val="Compact"/>
            </w:pPr>
            <w:r>
              <w:t xml:space="preserve">3–5</w:t>
            </w:r>
          </w:p>
        </w:tc>
        <w:tc>
          <w:tcPr/>
          <w:p>
            <w:pPr>
              <w:pStyle w:val="Compact"/>
            </w:pPr>
            <w:r>
              <w:t xml:space="preserve">David distinguishes his personal treasure from the official royal treasury — he has given his</w:t>
            </w:r>
            <w:r>
              <w:t xml:space="preserve"> </w:t>
            </w:r>
            <w:r>
              <w:t xml:space="preserve">“own special treasure”</w:t>
            </w:r>
            <w:r>
              <w:t xml:space="preserve"> </w:t>
            </w:r>
            <w:r>
              <w:t xml:space="preserve">above the official contribution; he then calls the people:</w:t>
            </w:r>
            <w:r>
              <w:t xml:space="preserve"> </w:t>
            </w:r>
            <w:r>
              <w:t xml:space="preserve">“Who then will offer willingly?”</w:t>
            </w:r>
          </w:p>
        </w:tc>
        <w:tc>
          <w:tcPr/>
          <w:p>
            <w:pPr>
              <w:pStyle w:val="Compact"/>
            </w:pPr>
            <w:r>
              <w:t xml:space="preserve">The invitation is to voluntary, over-and-above giving; the question</w:t>
            </w:r>
            <w:r>
              <w:t xml:space="preserve"> </w:t>
            </w:r>
            <w:r>
              <w:t xml:space="preserve">“who will offer willingly?”</w:t>
            </w:r>
            <w:r>
              <w:t xml:space="preserve"> </w:t>
            </w:r>
            <w:r>
              <w:t xml:space="preserve">is a hinge on which the chapter turns</w:t>
            </w:r>
          </w:p>
        </w:tc>
      </w:tr>
      <w:tr>
        <w:tc>
          <w:tcPr/>
          <w:p>
            <w:pPr>
              <w:pStyle w:val="Compact"/>
            </w:pPr>
            <w:r>
              <w:t xml:space="preserve">6–8</w:t>
            </w:r>
          </w:p>
        </w:tc>
        <w:tc>
          <w:tcPr/>
          <w:p>
            <w:pPr>
              <w:pStyle w:val="Compact"/>
            </w:pPr>
            <w:r>
              <w:t xml:space="preserve">Leaders of tribes, commanders of thousands, overseers, and the royal officials all give willingly and in great quantity; the totals are staggering; they give to the treasury of the house of the LORD under the hand of Jehiel the Gershonite</w:t>
            </w:r>
          </w:p>
        </w:tc>
        <w:tc>
          <w:tcPr/>
          <w:p>
            <w:pPr>
              <w:pStyle w:val="Compact"/>
            </w:pPr>
            <w:r>
              <w:t xml:space="preserve">The unanimity is notable — every leadership class participates; this is not extracted tribute but voluntary consecration</w:t>
            </w:r>
          </w:p>
        </w:tc>
      </w:tr>
      <w:tr>
        <w:tc>
          <w:tcPr/>
          <w:p>
            <w:pPr>
              <w:pStyle w:val="Compact"/>
            </w:pPr>
            <w:r>
              <w:t xml:space="preserve">9</w:t>
            </w:r>
          </w:p>
        </w:tc>
        <w:tc>
          <w:tcPr/>
          <w:p>
            <w:pPr>
              <w:pStyle w:val="Compact"/>
            </w:pPr>
            <w:r>
              <w:t xml:space="preserve">The people rejoice because they have offered so willingly; David himself rejoices greatly</w:t>
            </w:r>
          </w:p>
        </w:tc>
        <w:tc>
          <w:tcPr/>
          <w:p>
            <w:pPr>
              <w:pStyle w:val="Compact"/>
            </w:pPr>
            <w:r>
              <w:t xml:space="preserve">Joy is the natural fruit of whole-hearted, freely-offered generosity — the text explicitly connects the willingness with the joy</w:t>
            </w:r>
          </w:p>
        </w:tc>
      </w:tr>
      <w:tr>
        <w:tc>
          <w:tcPr/>
          <w:p>
            <w:pPr>
              <w:pStyle w:val="Compact"/>
            </w:pPr>
            <w:r>
              <w:t xml:space="preserve">10–12</w:t>
            </w:r>
          </w:p>
        </w:tc>
        <w:tc>
          <w:tcPr/>
          <w:p>
            <w:pPr>
              <w:pStyle w:val="Compact"/>
            </w:pPr>
            <w:r>
              <w:t xml:space="preserve">David’s doxology opens: he blesses the LORD before the whole assembly; God is praised as the God of Israel forever; greatness, power, glory, victory, majesty, dominion, exaltation — everything in heaven and earth belongs to Him; He is the head over all; riches and honor come from Him; He rules over all; His hand gives power and might</w:t>
            </w:r>
          </w:p>
        </w:tc>
        <w:tc>
          <w:tcPr/>
          <w:p>
            <w:pPr>
              <w:pStyle w:val="Compact"/>
            </w:pPr>
            <w:r>
              <w:t xml:space="preserve">The structure is cumulative — each line adds to the declaration of God’s total sovereignty and ownership; this is not merely praise but the theological foundation for everything that follows</w:t>
            </w:r>
          </w:p>
        </w:tc>
      </w:tr>
      <w:tr>
        <w:tc>
          <w:tcPr/>
          <w:p>
            <w:pPr>
              <w:pStyle w:val="Compact"/>
            </w:pPr>
            <w:r>
              <w:t xml:space="preserve">13</w:t>
            </w:r>
          </w:p>
        </w:tc>
        <w:tc>
          <w:tcPr/>
          <w:p>
            <w:pPr>
              <w:pStyle w:val="Compact"/>
            </w:pPr>
            <w:r>
              <w:t xml:space="preserve">“And now we thank You, our God, and praise Your glorious name”</w:t>
            </w:r>
            <w:r>
              <w:t xml:space="preserve"> </w:t>
            </w:r>
            <w:r>
              <w:t xml:space="preserve">— the transition from declaration to adoration</w:t>
            </w:r>
          </w:p>
        </w:tc>
        <w:tc>
          <w:tcPr/>
          <w:p>
            <w:pPr>
              <w:pStyle w:val="Compact"/>
            </w:pPr>
            <w:r>
              <w:t xml:space="preserve">The doxology lands in personal address —</w:t>
            </w:r>
            <w:r>
              <w:t xml:space="preserve"> </w:t>
            </w:r>
            <w:r>
              <w:t xml:space="preserve">“our God”</w:t>
            </w:r>
            <w:r>
              <w:t xml:space="preserve"> </w:t>
            </w:r>
            <w:r>
              <w:t xml:space="preserve">— rooting abstract sovereignty in covenant relationship</w:t>
            </w:r>
          </w:p>
        </w:tc>
      </w:tr>
      <w:tr>
        <w:tc>
          <w:tcPr/>
          <w:p>
            <w:pPr>
              <w:pStyle w:val="Compact"/>
            </w:pPr>
            <w:r>
              <w:t xml:space="preserve">14–16</w:t>
            </w:r>
          </w:p>
        </w:tc>
        <w:tc>
          <w:tcPr/>
          <w:p>
            <w:pPr>
              <w:pStyle w:val="Compact"/>
            </w:pPr>
            <w:r>
              <w:t xml:space="preserve">The heart of the chapter:</w:t>
            </w:r>
            <w:r>
              <w:t xml:space="preserve"> </w:t>
            </w:r>
            <w:r>
              <w:t xml:space="preserve">“Who am I, and who are my people, that we should be able to offer so willingly in this way? For all things come from You, and from Your own hand we have given You.”</w:t>
            </w:r>
            <w:r>
              <w:t xml:space="preserve"> </w:t>
            </w:r>
            <w:r>
              <w:t xml:space="preserve">David acknowledges that they are strangers and sojourners, that their days are like a shadow; all the abundance they have brought comes from God’s hand and is already His</w:t>
            </w:r>
          </w:p>
        </w:tc>
        <w:tc>
          <w:tcPr/>
          <w:p>
            <w:pPr>
              <w:pStyle w:val="Compact"/>
            </w:pPr>
            <w:r>
              <w:t xml:space="preserve">This is the interpretive key to the entire chapter; giving is not donation but return; pride in generosity is ruled out at the root; the</w:t>
            </w:r>
            <w:r>
              <w:t xml:space="preserve"> </w:t>
            </w:r>
            <w:r>
              <w:t xml:space="preserve">“shadow”</w:t>
            </w:r>
            <w:r>
              <w:t xml:space="preserve"> </w:t>
            </w:r>
            <w:r>
              <w:t xml:space="preserve">language introduces mortality alongside ownership — we cannot keep anything</w:t>
            </w:r>
          </w:p>
        </w:tc>
      </w:tr>
      <w:tr>
        <w:tc>
          <w:tcPr/>
          <w:p>
            <w:pPr>
              <w:pStyle w:val="Compact"/>
            </w:pPr>
            <w:r>
              <w:t xml:space="preserve">17</w:t>
            </w:r>
          </w:p>
        </w:tc>
        <w:tc>
          <w:tcPr/>
          <w:p>
            <w:pPr>
              <w:pStyle w:val="Compact"/>
            </w:pPr>
            <w:r>
              <w:t xml:space="preserve">David acknowledges that God tests the heart and takes pleasure in uprightness; he has offered willingly with an upright heart; he has seen the people offering willingly and joyfully</w:t>
            </w:r>
          </w:p>
        </w:tc>
        <w:tc>
          <w:tcPr/>
          <w:p>
            <w:pPr>
              <w:pStyle w:val="Compact"/>
            </w:pPr>
            <w:r>
              <w:t xml:space="preserve">The inward dimension of giving — God is not primarily interested in the quantity but in the condition of the heart; God already knew their hearts before they gave</w:t>
            </w:r>
          </w:p>
        </w:tc>
      </w:tr>
      <w:tr>
        <w:tc>
          <w:tcPr/>
          <w:p>
            <w:pPr>
              <w:pStyle w:val="Compact"/>
            </w:pPr>
            <w:r>
              <w:t xml:space="preserve">18–19</w:t>
            </w:r>
          </w:p>
        </w:tc>
        <w:tc>
          <w:tcPr/>
          <w:p>
            <w:pPr>
              <w:pStyle w:val="Compact"/>
            </w:pPr>
            <w:r>
              <w:t xml:space="preserve">David’s intercession: keep this inclination in the hearts of the people forever; keep their hearts loyal to God; give Solomon a whole heart to keep all the commandments and build the temple</w:t>
            </w:r>
          </w:p>
        </w:tc>
        <w:tc>
          <w:tcPr/>
          <w:p>
            <w:pPr>
              <w:pStyle w:val="Compact"/>
            </w:pPr>
            <w:r>
              <w:t xml:space="preserve">The prayer asks not for prosperity or success but for the</w:t>
            </w:r>
            <w:r>
              <w:t xml:space="preserve"> </w:t>
            </w:r>
            <w:r>
              <w:rPr>
                <w:i/>
                <w:iCs/>
              </w:rPr>
              <w:t xml:space="preserve">maintenance of the disposition</w:t>
            </w:r>
            <w:r>
              <w:t xml:space="preserve"> </w:t>
            </w:r>
            <w:r>
              <w:t xml:space="preserve">that has produced the giving; godliness, not outcome, is the burden of the intercession</w:t>
            </w:r>
          </w:p>
        </w:tc>
      </w:tr>
      <w:tr>
        <w:tc>
          <w:tcPr/>
          <w:p>
            <w:pPr>
              <w:pStyle w:val="Compact"/>
            </w:pPr>
            <w:r>
              <w:t xml:space="preserve">20</w:t>
            </w:r>
          </w:p>
        </w:tc>
        <w:tc>
          <w:tcPr/>
          <w:p>
            <w:pPr>
              <w:pStyle w:val="Compact"/>
            </w:pPr>
            <w:r>
              <w:t xml:space="preserve">David calls the assembly to bless the LORD; they do so, bowing down and worshiping before the LORD and the king</w:t>
            </w:r>
          </w:p>
        </w:tc>
        <w:tc>
          <w:tcPr/>
          <w:p>
            <w:pPr>
              <w:pStyle w:val="Compact"/>
            </w:pPr>
            <w:r>
              <w:t xml:space="preserve">Corporate worship as the response to corporate doxology and giving; the chapter reaches its liturgical apex</w:t>
            </w:r>
          </w:p>
        </w:tc>
      </w:tr>
      <w:tr>
        <w:tc>
          <w:tcPr/>
          <w:p>
            <w:pPr>
              <w:pStyle w:val="Compact"/>
            </w:pPr>
            <w:r>
              <w:t xml:space="preserve">21</w:t>
            </w:r>
          </w:p>
        </w:tc>
        <w:tc>
          <w:tcPr/>
          <w:p>
            <w:pPr>
              <w:pStyle w:val="Compact"/>
            </w:pPr>
            <w:r>
              <w:t xml:space="preserve">The next day they offer burnt offerings and sacrifices to the LORD and make peace offerings; eating and drinking before the LORD with great gladness</w:t>
            </w:r>
          </w:p>
        </w:tc>
        <w:tc>
          <w:tcPr/>
          <w:p>
            <w:pPr>
              <w:pStyle w:val="Compact"/>
            </w:pPr>
            <w:r>
              <w:t xml:space="preserve">The chapter’s giving is embedded in sacrificial worship — this is not a fundraising event but an act of covenant devotion</w:t>
            </w:r>
          </w:p>
        </w:tc>
      </w:tr>
      <w:tr>
        <w:tc>
          <w:tcPr/>
          <w:p>
            <w:pPr>
              <w:pStyle w:val="Compact"/>
            </w:pPr>
            <w:r>
              <w:t xml:space="preserve">22–25</w:t>
            </w:r>
          </w:p>
        </w:tc>
        <w:tc>
          <w:tcPr/>
          <w:p>
            <w:pPr>
              <w:pStyle w:val="Compact"/>
            </w:pPr>
            <w:r>
              <w:t xml:space="preserve">Solomon is anointed king before the LORD; Zadok is anointed as priest; the assembly acknowledges Solomon; the LORD exalts Solomon exceedingly; all Israel, commanders, and warriors give their allegiance</w:t>
            </w:r>
          </w:p>
        </w:tc>
        <w:tc>
          <w:tcPr/>
          <w:p>
            <w:pPr>
              <w:pStyle w:val="Compact"/>
            </w:pPr>
            <w:r>
              <w:t xml:space="preserve">The transition of the Davidic covenant to the next generation is enacted in worship — the giving to the temple and the anointing of the king are unified acts of covenant loyalty</w:t>
            </w:r>
          </w:p>
        </w:tc>
      </w:tr>
      <w:tr>
        <w:tc>
          <w:tcPr/>
          <w:p>
            <w:pPr>
              <w:pStyle w:val="Compact"/>
            </w:pPr>
            <w:r>
              <w:t xml:space="preserve">26–28</w:t>
            </w:r>
          </w:p>
        </w:tc>
        <w:tc>
          <w:tcPr/>
          <w:p>
            <w:pPr>
              <w:pStyle w:val="Compact"/>
            </w:pPr>
            <w:r>
              <w:t xml:space="preserve">Summary of David’s reign: he reigned over all Israel with good success; he died in good old age, full of days, riches, and honor</w:t>
            </w:r>
          </w:p>
        </w:tc>
        <w:tc>
          <w:tcPr/>
          <w:p>
            <w:pPr>
              <w:pStyle w:val="Compact"/>
            </w:pPr>
            <w:r>
              <w:t xml:space="preserve">The Chronicler’s closing portrait of David — a life fully given to God’s purposes ends in fullness, not privation</w:t>
            </w:r>
          </w:p>
        </w:tc>
      </w:tr>
      <w:tr>
        <w:tc>
          <w:tcPr/>
          <w:p>
            <w:pPr>
              <w:pStyle w:val="Compact"/>
            </w:pPr>
            <w:r>
              <w:t xml:space="preserve">29–30</w:t>
            </w:r>
          </w:p>
        </w:tc>
        <w:tc>
          <w:tcPr/>
          <w:p>
            <w:pPr>
              <w:pStyle w:val="Compact"/>
            </w:pPr>
            <w:r>
              <w:t xml:space="preserve">Closing colophon: the acts of David from first to last are written in the chronicles of Samuel the seer, Nathan the prophet, and Gad the seer; full account of his reign, his might, and the events of his times</w:t>
            </w:r>
          </w:p>
        </w:tc>
        <w:tc>
          <w:tcPr/>
          <w:p>
            <w:pPr>
              <w:pStyle w:val="Compact"/>
            </w:pPr>
            <w:r>
              <w:t xml:space="preserve">The historical grounding of the account; multiple sources authenticate; the chapter closes the Davidic section of Chronicles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Call to Give: David Models and Invites</w:t>
            </w:r>
          </w:p>
        </w:tc>
      </w:tr>
      <w:tr>
        <w:tc>
          <w:tcPr/>
          <w:p>
            <w:pPr>
              <w:pStyle w:val="Compact"/>
            </w:pPr>
            <w:r>
              <w:t xml:space="preserve">2</w:t>
            </w:r>
          </w:p>
        </w:tc>
        <w:tc>
          <w:tcPr/>
          <w:p>
            <w:pPr>
              <w:pStyle w:val="Compact"/>
            </w:pPr>
            <w:r>
              <w:t xml:space="preserve">6–9</w:t>
            </w:r>
          </w:p>
        </w:tc>
        <w:tc>
          <w:tcPr/>
          <w:p>
            <w:pPr>
              <w:pStyle w:val="Compact"/>
            </w:pPr>
            <w:r>
              <w:t xml:space="preserve">The Response: Whole-Hearted, Willing, Joyful Generosity</w:t>
            </w:r>
          </w:p>
        </w:tc>
      </w:tr>
      <w:tr>
        <w:tc>
          <w:tcPr/>
          <w:p>
            <w:pPr>
              <w:pStyle w:val="Compact"/>
            </w:pPr>
            <w:r>
              <w:t xml:space="preserve">3</w:t>
            </w:r>
          </w:p>
        </w:tc>
        <w:tc>
          <w:tcPr/>
          <w:p>
            <w:pPr>
              <w:pStyle w:val="Compact"/>
            </w:pPr>
            <w:r>
              <w:t xml:space="preserve">10–13</w:t>
            </w:r>
          </w:p>
        </w:tc>
        <w:tc>
          <w:tcPr/>
          <w:p>
            <w:pPr>
              <w:pStyle w:val="Compact"/>
            </w:pPr>
            <w:r>
              <w:t xml:space="preserve">The Doxology: God Owns Everything</w:t>
            </w:r>
          </w:p>
        </w:tc>
      </w:tr>
      <w:tr>
        <w:tc>
          <w:tcPr/>
          <w:p>
            <w:pPr>
              <w:pStyle w:val="Compact"/>
            </w:pPr>
            <w:r>
              <w:t xml:space="preserve">4</w:t>
            </w:r>
          </w:p>
        </w:tc>
        <w:tc>
          <w:tcPr/>
          <w:p>
            <w:pPr>
              <w:pStyle w:val="Compact"/>
            </w:pPr>
            <w:r>
              <w:t xml:space="preserve">14–19</w:t>
            </w:r>
          </w:p>
        </w:tc>
        <w:tc>
          <w:tcPr/>
          <w:p>
            <w:pPr>
              <w:pStyle w:val="Compact"/>
            </w:pPr>
            <w:r>
              <w:t xml:space="preserve">The Theology of Giving: From His Hand We Have Given Him</w:t>
            </w:r>
          </w:p>
        </w:tc>
      </w:tr>
      <w:tr>
        <w:tc>
          <w:tcPr/>
          <w:p>
            <w:pPr>
              <w:pStyle w:val="Compact"/>
            </w:pPr>
            <w:r>
              <w:t xml:space="preserve">5</w:t>
            </w:r>
          </w:p>
        </w:tc>
        <w:tc>
          <w:tcPr/>
          <w:p>
            <w:pPr>
              <w:pStyle w:val="Compact"/>
            </w:pPr>
            <w:r>
              <w:t xml:space="preserve">20–22</w:t>
            </w:r>
          </w:p>
        </w:tc>
        <w:tc>
          <w:tcPr/>
          <w:p>
            <w:pPr>
              <w:pStyle w:val="Compact"/>
            </w:pPr>
            <w:r>
              <w:t xml:space="preserve">The Worship: Corporate Doxology and Sacrifice</w:t>
            </w:r>
          </w:p>
        </w:tc>
      </w:tr>
      <w:tr>
        <w:tc>
          <w:tcPr/>
          <w:p>
            <w:pPr>
              <w:pStyle w:val="Compact"/>
            </w:pPr>
            <w:r>
              <w:t xml:space="preserve">6</w:t>
            </w:r>
          </w:p>
        </w:tc>
        <w:tc>
          <w:tcPr/>
          <w:p>
            <w:pPr>
              <w:pStyle w:val="Compact"/>
            </w:pPr>
            <w:r>
              <w:t xml:space="preserve">23–30</w:t>
            </w:r>
          </w:p>
        </w:tc>
        <w:tc>
          <w:tcPr/>
          <w:p>
            <w:pPr>
              <w:pStyle w:val="Compact"/>
            </w:pPr>
            <w:r>
              <w:t xml:space="preserve">The Transition and Colophon: Solomon Established, David’s End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great doxology reveals that all human generosity is, at its root, a return of what God has already given.</w:t>
      </w:r>
    </w:p>
    <w:p>
      <w:pPr>
        <w:pStyle w:val="BodyText"/>
      </w:pPr>
      <w:r>
        <w:rPr>
          <w:b/>
          <w:bCs/>
        </w:rPr>
        <w:t xml:space="preserve">Primary Claim:</w:t>
      </w:r>
      <w:r>
        <w:t xml:space="preserve"> </w:t>
      </w:r>
      <w:r>
        <w:t xml:space="preserve">God is confronting every would-be giver with the liberating and humbling truth that He owns everything — and calling His people to the joyful, whole-hearted generosity that flows from knowing it.</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every act of giving as an act of return, not donation.</w:t>
      </w:r>
      <w:r>
        <w:t xml:space="preserve"> </w:t>
      </w:r>
      <w:r>
        <w:rPr>
          <w:i/>
          <w:iCs/>
        </w:rPr>
        <w:t xml:space="preserve">(Mind/Belief)</w:t>
      </w:r>
      <w:r>
        <w:t xml:space="preserve"> </w:t>
      </w:r>
      <w:r>
        <w:t xml:space="preserve">David’s prayer in verse 14 is not false modesty — it is a precise theological claim:</w:t>
      </w:r>
      <w:r>
        <w:t xml:space="preserve"> </w:t>
      </w:r>
      <w:r>
        <w:t xml:space="preserve">“From Your own hand we have given You.”</w:t>
      </w:r>
      <w:r>
        <w:t xml:space="preserve"> </w:t>
      </w:r>
      <w:r>
        <w:t xml:space="preserve">Every believer who sits down to make a financial decision — about the church, about need, about the poor — is not deciding how much of</w:t>
      </w:r>
      <w:r>
        <w:t xml:space="preserve"> </w:t>
      </w:r>
      <w:r>
        <w:rPr>
          <w:i/>
          <w:iCs/>
        </w:rPr>
        <w:t xml:space="preserve">their</w:t>
      </w:r>
      <w:r>
        <w:t xml:space="preserve"> </w:t>
      </w:r>
      <w:r>
        <w:t xml:space="preserve">money to release. They are deciding how much of</w:t>
      </w:r>
      <w:r>
        <w:t xml:space="preserve"> </w:t>
      </w:r>
      <w:r>
        <w:rPr>
          <w:i/>
          <w:iCs/>
        </w:rPr>
        <w:t xml:space="preserve">God’s</w:t>
      </w:r>
      <w:r>
        <w:t xml:space="preserve"> </w:t>
      </w:r>
      <w:r>
        <w:t xml:space="preserve">money, entrusted to their stewardship, they will direct toward His purposes. This reframe is not a rhetorical device — it is the ontological reality. You do not own your salary, your savings, or your estate. You are a household manager. The question is not</w:t>
      </w:r>
      <w:r>
        <w:t xml:space="preserve"> </w:t>
      </w:r>
      <w:r>
        <w:t xml:space="preserve">“How much will I give?”</w:t>
      </w:r>
      <w:r>
        <w:t xml:space="preserve"> </w:t>
      </w:r>
      <w:r>
        <w:t xml:space="preserve">but</w:t>
      </w:r>
      <w:r>
        <w:t xml:space="preserve"> </w:t>
      </w:r>
      <w:r>
        <w:t xml:space="preserve">“How much of what God has entrusted to me am I directing to His purposes, and how much am I directing to my own comfort?”</w:t>
      </w:r>
      <w:r>
        <w:t xml:space="preserve"> </w:t>
      </w:r>
      <w:r>
        <w:t xml:space="preserve">Start there. The pride and the fear both dissolve when the frame is correct.</w:t>
      </w:r>
    </w:p>
    <w:p>
      <w:pPr>
        <w:pStyle w:val="BodyText"/>
      </w:pPr>
      <w:r>
        <w:rPr>
          <w:b/>
          <w:bCs/>
        </w:rPr>
        <w:t xml:space="preserve">2. Let this chapter diagnose the idol beneath your anxiety about money.</w:t>
      </w:r>
      <w:r>
        <w:t xml:space="preserve"> </w:t>
      </w:r>
      <w:r>
        <w:rPr>
          <w:i/>
          <w:iCs/>
        </w:rPr>
        <w:t xml:space="preserve">(Affections/Worship)</w:t>
      </w:r>
      <w:r>
        <w:t xml:space="preserve"> </w:t>
      </w:r>
      <w:r>
        <w:t xml:space="preserve">If the thought of giving generously produces anxiety rather than joy, 1 Chronicles 29 is performing a diagnosis, not a guilt trip. The anxiety reveals what you actually believe: that the money is yours, that its loss is a real loss, that your security depends on its retention. David’s doxology —</w:t>
      </w:r>
      <w:r>
        <w:t xml:space="preserve"> </w:t>
      </w:r>
      <w:r>
        <w:t xml:space="preserve">“riches and honor come from You, and You rule over all”</w:t>
      </w:r>
      <w:r>
        <w:t xml:space="preserve"> </w:t>
      </w:r>
      <w:r>
        <w:t xml:space="preserve">(v. 12) — is not a platitude. It is the specific antidote to the specific idol of financial security. The people in this chapter rejoiced when they gave (v. 9) because they knew something: nothing they released was ever really theirs to hold. Generous giving is not an act of spiritual heroism — it is an act of worship that expresses what you actually believe about God’s ownership and your own security. What does your checkbook reveal about what you actually believe?</w:t>
      </w:r>
    </w:p>
    <w:p>
      <w:pPr>
        <w:pStyle w:val="BodyText"/>
      </w:pPr>
      <w:r>
        <w:rPr>
          <w:b/>
          <w:bCs/>
        </w:rPr>
        <w:t xml:space="preserve">3. Pray for the inclination to give, not just the occasion.</w:t>
      </w:r>
      <w:r>
        <w:t xml:space="preserve"> </w:t>
      </w:r>
      <w:r>
        <w:rPr>
          <w:i/>
          <w:iCs/>
        </w:rPr>
        <w:t xml:space="preserve">(Will/Behavior)</w:t>
      </w:r>
      <w:r>
        <w:t xml:space="preserve"> </w:t>
      </w:r>
      <w:r>
        <w:t xml:space="preserve">David’s intercession in verses 18–19 does not ask God for the temple to be finished quickly or for the materials to prove sufficient. He asks God to</w:t>
      </w:r>
      <w:r>
        <w:t xml:space="preserve"> </w:t>
      </w:r>
      <w:r>
        <w:rPr>
          <w:i/>
          <w:iCs/>
        </w:rPr>
        <w:t xml:space="preserve">keep this inclination in the hearts of the people forever</w:t>
      </w:r>
      <w:r>
        <w:t xml:space="preserve">. This is the most practical prayer application in the chapter, and almost no one preaches it: the right prayer is not</w:t>
      </w:r>
      <w:r>
        <w:t xml:space="preserve"> </w:t>
      </w:r>
      <w:r>
        <w:t xml:space="preserve">“Lord, help me give more”</w:t>
      </w:r>
      <w:r>
        <w:t xml:space="preserve"> </w:t>
      </w:r>
      <w:r>
        <w:t xml:space="preserve">but</w:t>
      </w:r>
      <w:r>
        <w:t xml:space="preserve"> </w:t>
      </w:r>
      <w:r>
        <w:t xml:space="preserve">“Lord, give me a heart that</w:t>
      </w:r>
      <w:r>
        <w:t xml:space="preserve"> </w:t>
      </w:r>
      <w:r>
        <w:rPr>
          <w:i/>
          <w:iCs/>
        </w:rPr>
        <w:t xml:space="preserve">wants</w:t>
      </w:r>
      <w:r>
        <w:t xml:space="preserve"> </w:t>
      </w:r>
      <w:r>
        <w:t xml:space="preserve">to give — maintain in me the posture of the whole-hearted giver.”</w:t>
      </w:r>
      <w:r>
        <w:t xml:space="preserve"> </w:t>
      </w:r>
      <w:r>
        <w:t xml:space="preserve">Begin praying this concretely and regularly. Ask God not just to supply your needs but to keep your heart from hardening toward generosity. The willing heart is itself a gift of grace, and it should be asked for accordingly.</w:t>
      </w:r>
    </w:p>
    <w:p>
      <w:pPr>
        <w:pStyle w:val="BodyText"/>
      </w:pPr>
      <w:r>
        <w:rPr>
          <w:b/>
          <w:bCs/>
        </w:rPr>
        <w:t xml:space="preserve">4. Recognize that joy in giving is the evidence of a God-centered heart, not the product of a large gift.</w:t>
      </w:r>
      <w:r>
        <w:t xml:space="preserve"> </w:t>
      </w:r>
      <w:r>
        <w:rPr>
          <w:i/>
          <w:iCs/>
        </w:rPr>
        <w:t xml:space="preserve">(Affections/Worship)</w:t>
      </w:r>
      <w:r>
        <w:t xml:space="preserve"> </w:t>
      </w:r>
      <w:r>
        <w:t xml:space="preserve">The chapter explicitly notes that the people rejoiced because they had given</w:t>
      </w:r>
      <w:r>
        <w:t xml:space="preserve"> </w:t>
      </w:r>
      <w:r>
        <w:rPr>
          <w:i/>
          <w:iCs/>
        </w:rPr>
        <w:t xml:space="preserve">willingly</w:t>
      </w:r>
      <w:r>
        <w:t xml:space="preserve"> </w:t>
      </w:r>
      <w:r>
        <w:t xml:space="preserve">(v. 9) — not because they had given extravagantly, not because they had given a particular amount, not because they expected return. The joy was a function of the heart-posture, not the sum. This has two practical edges: First, those who give grudgingly or under compulsion — whether societal pressure, guilt, or pastoral expectation — have not yet arrived at the giving this chapter describes, regardless of the amount. Second, those who give modestly but whole-heartedly have arrived at what God is after, regardless of what the ledger says. God tests the heart (v. 17). Let the question of joy be a diagnostic: am I giving in a way that produces worship, or am I giving in a way that produces resentment or anxiety? The answer reveals where my heart actually is.</w:t>
      </w:r>
    </w:p>
    <w:p>
      <w:pPr>
        <w:pStyle w:val="BodyText"/>
      </w:pPr>
      <w:r>
        <w:rPr>
          <w:b/>
          <w:bCs/>
        </w:rPr>
        <w:t xml:space="preserve">5. Model generosity before you call others to it — lead from example, not instruction.</w:t>
      </w:r>
      <w:r>
        <w:t xml:space="preserve"> </w:t>
      </w:r>
      <w:r>
        <w:rPr>
          <w:i/>
          <w:iCs/>
        </w:rPr>
        <w:t xml:space="preserve">(Will/Behavior)</w:t>
      </w:r>
      <w:r>
        <w:t xml:space="preserve"> </w:t>
      </w:r>
      <w:r>
        <w:t xml:space="preserve">David’s sequence in this chapter is deliberate and instructive: he gives personally and publicly first (vv. 2–5), then he calls the leaders and the people to give (vv. 5–6). He does not call others to a standard he has not already met himself. Every leader — of a household, a ministry, a church, an organization — faces this same structural question: am I asking people to do what I have already done, or am I asking them to go where I have not yet gone myself? David’s model is not about matching gifts or competitive generosity — it is about the integrity of leading from personal consecration rather than institutional pressure. The people’s willing response (v. 6) follows directly from seeing their king’s willing giving. Generosity is more caught than taught.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29 provides one of the Old Testament’s most explicit and comprehensive treatments of divine ownership and human stewardship. The passage teaches that God’s sovereignty is not merely a metaphysical category — it is the ontological ground of all economic life. God does not merely</w:t>
      </w:r>
      <w:r>
        <w:t xml:space="preserve"> </w:t>
      </w:r>
      <w:r>
        <w:rPr>
          <w:i/>
          <w:iCs/>
        </w:rPr>
        <w:t xml:space="preserve">know</w:t>
      </w:r>
      <w:r>
        <w:t xml:space="preserve"> </w:t>
      </w:r>
      <w:r>
        <w:t xml:space="preserve">about human wealth and generosity; He is the prior source and therefore the rightful owner of all of it. This is not the abstract sovereignty of an indifferent creator but the covenant sovereignty of</w:t>
      </w:r>
      <w:r>
        <w:t xml:space="preserve"> </w:t>
      </w:r>
      <w:r>
        <w:t xml:space="preserve">“the God of our father Israel forever and ever”</w:t>
      </w:r>
      <w:r>
        <w:t xml:space="preserve"> </w:t>
      </w:r>
      <w:r>
        <w:t xml:space="preserve">(v. 10) — the God whose ownership is inseparable from His covenant faithfulness. The chapter further teaches that God’s primary interest is the condition of the heart, not the size of the gift (v. 17) — a principle that runs through Scripture’s entire treatment of worship and sacrifice. Finally, the doxology of vv. 10–13 makes explicit what the giving makes concrete: that greatness, power, glory, and honor belong entirely to God, that human beings possess nothing independently, and that worship is the only fitting response to this reality.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remarkable Old Testament exhibition of several core Reformed convictions. First, it demonstrates that grace precedes and produces human response: the people’s willingness to give is celebrated, but David’s prayer refuses to ground that willingness in autonomous human virtue — it is itself a gift from God’s hand (v. 14), paralleling the Reformed insistence that even faith and repentance are gifts of sovereign grace (Ephesians 2:8; Philippians 2:13). Second, the chapter enacts the Reformed doctrine of common grace and total Lordship: all wealth, all resources, all human capacity belongs to God — there is no secular-sacred divide, no domain of life exempt from His ownership. Third, David’s intercession for Solomon and the people (vv. 18–19) reflects a Reformed understanding of sanctification as the sustained work of God in the heart — not a one-time decision but a continual preservation of God-given inclinations. Finally, the chapter’s placement at the climax of the Davidic section of Chronicles points forward redemptive-historically to the greater Son of David who would build the true temple — a temple not made with hands — and whose own giving of Himself was the ultimate act of returning what belonged to the Father, executed with perfect whole-heartedness. The eschatological worship of Revelation 4–5 echoes the structure of 1 Chronicles 29: creatures who possess nothing offering back to God what He first gave, in a great doxology of His total sovereignty.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are not a donor. You are a steward. Every dollar you have, every resource you manage, every ability you deploy — it came from God’s hand, and He is asking only whether you will direct it faithfully back toward His purposes. The liberating truth of 1 Chronicles 29 is this: once you stop pretending you own anything, the fear of giving dissolves and the joy of giving takes its place. Stop clutching what was never yours. Give with a whole heart — and let the giving be an act of worship, not a transaction.</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stewardship sermon.</w:t>
      </w:r>
      <w:r>
        <w:t xml:space="preserve"> </w:t>
      </w:r>
      <w:r>
        <w:t xml:space="preserve">This is the most common mishandling of 1 Chronicles 29. It becomes a fundraising text — used to motivate giving to a church building campaign, budget drive, or capital project, with David’s example deployed as the motivational anchor. This is not wrong in its immediate application, but it truncates the chapter’s reach. The chapter is not primarily about</w:t>
      </w:r>
      <w:r>
        <w:t xml:space="preserve"> </w:t>
      </w:r>
      <w:r>
        <w:rPr>
          <w:i/>
          <w:iCs/>
        </w:rPr>
        <w:t xml:space="preserve">how much to give</w:t>
      </w:r>
      <w:r>
        <w:t xml:space="preserve"> </w:t>
      </w:r>
      <w:r>
        <w:t xml:space="preserve">or</w:t>
      </w:r>
      <w:r>
        <w:t xml:space="preserve"> </w:t>
      </w:r>
      <w:r>
        <w:rPr>
          <w:i/>
          <w:iCs/>
        </w:rPr>
        <w:t xml:space="preserve">what project to give toward</w:t>
      </w:r>
      <w:r>
        <w:t xml:space="preserve"> </w:t>
      </w:r>
      <w:r>
        <w:t xml:space="preserve">— it is about the</w:t>
      </w:r>
      <w:r>
        <w:t xml:space="preserve"> </w:t>
      </w:r>
      <w:r>
        <w:rPr>
          <w:i/>
          <w:iCs/>
        </w:rPr>
        <w:t xml:space="preserve">theological ground of all generosity</w:t>
      </w:r>
      <w:r>
        <w:t xml:space="preserve"> </w:t>
      </w:r>
      <w:r>
        <w:t xml:space="preserve">and the</w:t>
      </w:r>
      <w:r>
        <w:t xml:space="preserve"> </w:t>
      </w:r>
      <w:r>
        <w:rPr>
          <w:i/>
          <w:iCs/>
        </w:rPr>
        <w:t xml:space="preserve">nature of God’s ownership</w:t>
      </w:r>
      <w:r>
        <w:t xml:space="preserve">. Preaching it as a capital campaign text without the doxological and theological center is like preaching the Sermon on the Mount as a behavior management guide.</w:t>
      </w:r>
    </w:p>
    <w:p>
      <w:pPr>
        <w:numPr>
          <w:ilvl w:val="0"/>
          <w:numId w:val="1002"/>
        </w:numPr>
      </w:pPr>
      <w:r>
        <w:rPr>
          <w:b/>
          <w:bCs/>
        </w:rPr>
        <w:t xml:space="preserve">Moralistic application:</w:t>
      </w:r>
      <w:r>
        <w:rPr>
          <w:b/>
          <w:bCs/>
        </w:rPr>
        <w:t xml:space="preserve"> </w:t>
      </w:r>
      <w:r>
        <w:rPr>
          <w:b/>
          <w:bCs/>
        </w:rPr>
        <w:t xml:space="preserve">“Be like David — give generously.”</w:t>
      </w:r>
      <w:r>
        <w:t xml:space="preserve"> </w:t>
      </w:r>
      <w:r>
        <w:t xml:space="preserve">The Clowney anti-moralism principle applies directly here. A sermon that moves from David’s extravagant giving to</w:t>
      </w:r>
      <w:r>
        <w:t xml:space="preserve"> </w:t>
      </w:r>
      <w:r>
        <w:t xml:space="preserve">“and so we should give extravagantly”</w:t>
      </w:r>
      <w:r>
        <w:t xml:space="preserve"> </w:t>
      </w:r>
      <w:r>
        <w:t xml:space="preserve">has generated an imperative without a theological engine. The chapter itself provides the engine: we give because God owns everything and we own nothing, because all our giving is a return of what He first gave, and because the whole-hearted heart is itself a gift of His grace. The application must be grounded in that engine, not in admiration for David.</w:t>
      </w:r>
    </w:p>
    <w:p>
      <w:pPr>
        <w:numPr>
          <w:ilvl w:val="0"/>
          <w:numId w:val="1002"/>
        </w:numPr>
      </w:pPr>
      <w:r>
        <w:rPr>
          <w:b/>
          <w:bCs/>
        </w:rPr>
        <w:t xml:space="preserve">Missing verse 14 as the interpretive key.</w:t>
      </w:r>
      <w:r>
        <w:t xml:space="preserve"> </w:t>
      </w:r>
      <w:r>
        <w:t xml:space="preserve">The verse</w:t>
      </w:r>
      <w:r>
        <w:t xml:space="preserve"> </w:t>
      </w:r>
      <w:r>
        <w:t xml:space="preserve">“from Your own hand we have given You”</w:t>
      </w:r>
      <w:r>
        <w:t xml:space="preserve"> </w:t>
      </w:r>
      <w:r>
        <w:t xml:space="preserve">is the single most theologically loaded line in the chapter, and it controls the meaning of everything else. A reading that spends most of its time on the extravagance of the giving (vv. 6–8) or on the joy of the people (v. 9) without landing on v. 14 as the theological center has missed what the chapter is actually doing. Every application, every homiletical move, every closing appeal must pass through verse 14.</w:t>
      </w:r>
    </w:p>
    <w:p>
      <w:pPr>
        <w:numPr>
          <w:ilvl w:val="0"/>
          <w:numId w:val="1002"/>
        </w:numPr>
      </w:pPr>
      <w:r>
        <w:rPr>
          <w:b/>
          <w:bCs/>
        </w:rPr>
        <w:t xml:space="preserve">Prosperity gospel importation.</w:t>
      </w:r>
      <w:r>
        <w:t xml:space="preserve"> </w:t>
      </w:r>
      <w:r>
        <w:t xml:space="preserve">As noted in the Interpretive Evaluation, the chapter’s extravagant giving creates a surface-level opportunity for transactional prosperity theology: give greatly, receive greatly. The text provides no such warrant. David’s prayer asks for maintained heart-inclination and Solomon’s devotion to the commandments — not financial return. Any preaching of this chapter that implies giving produces financial reward has misread the text and its intent at a fundamental level.</w:t>
      </w:r>
    </w:p>
    <w:p>
      <w:pPr>
        <w:numPr>
          <w:ilvl w:val="0"/>
          <w:numId w:val="1002"/>
        </w:numPr>
      </w:pPr>
      <w:r>
        <w:rPr>
          <w:b/>
          <w:bCs/>
        </w:rPr>
        <w:t xml:space="preserve">Ignoring the intercession (vv. 18–19) as applicational gold.</w:t>
      </w:r>
      <w:r>
        <w:t xml:space="preserve"> </w:t>
      </w:r>
      <w:r>
        <w:t xml:space="preserve">Preachers often spend the bulk of their time on the giving narrative and the doxology, and treat the intercession as a transition toward the Solomon section. This is a significant loss. The intercession is where the chapter’s theology becomes most practically urgent: David does not pray for the temple to succeed — he prays for</w:t>
      </w:r>
      <w:r>
        <w:t xml:space="preserve"> </w:t>
      </w:r>
      <w:r>
        <w:rPr>
          <w:i/>
          <w:iCs/>
        </w:rPr>
        <w:t xml:space="preserve">the hearts of the people to remain willing</w:t>
      </w:r>
      <w:r>
        <w:t xml:space="preserve">. This is the most penetrating application in the chapter and deserves full homiletical weight. The question it poses is: what are you praying for regarding your own generosity — better circumstances, or a better heart?</w:t>
      </w:r>
    </w:p>
    <w:p>
      <w:pPr>
        <w:numPr>
          <w:ilvl w:val="0"/>
          <w:numId w:val="1002"/>
        </w:numPr>
      </w:pPr>
      <w:r>
        <w:rPr>
          <w:b/>
          <w:bCs/>
        </w:rPr>
        <w:t xml:space="preserve">Failing to distinguish David’s prayer from mere modesty.</w:t>
      </w:r>
      <w:r>
        <w:t xml:space="preserve"> </w:t>
      </w:r>
      <w:r>
        <w:t xml:space="preserve">When David says</w:t>
      </w:r>
      <w:r>
        <w:t xml:space="preserve"> </w:t>
      </w:r>
      <w:r>
        <w:t xml:space="preserve">“who am I, and who are my people?”</w:t>
      </w:r>
      <w:r>
        <w:t xml:space="preserve"> </w:t>
      </w:r>
      <w:r>
        <w:t xml:space="preserve">(v. 14), this is sometimes treated as a rhetorical expression of humility — the king being appropriately self-deprecating before God. This is a category error. David is not being modest — he is making a precise theological argument: the givers have no independent standing to claim credit for their giving because the resources, the capacity, and the inclination all originated with God. This is not false modesty — it is accurate accounting. The preacher should help the congregation see that David’s words are not pious language but ontological precision.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2026-07-14T21:03:22Z</dcterms:created>
  <dcterms:modified xsi:type="dcterms:W3CDTF">2026-07-14T21:03:22Z</dcterms:modified>
</cp:coreProperties>
</file>

<file path=docProps/custom.xml><?xml version="1.0" encoding="utf-8"?>
<Properties xmlns="http://schemas.openxmlformats.org/officeDocument/2006/custom-properties" xmlns:vt="http://schemas.openxmlformats.org/officeDocument/2006/docPropsVTypes"/>
</file>